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2CB" w:themeFill="accent3" w:themeFillTint="32"/>
        <w:tblLayout w:type="autofit"/>
        <w:tblCellMar>
          <w:left w:w="108" w:type="dxa"/>
          <w:right w:w="108" w:type="dxa"/>
        </w:tblCellMar>
      </w:tblPr>
      <w:tblGrid>
        <w:gridCol w:w="3474"/>
        <w:gridCol w:w="1875"/>
        <w:gridCol w:w="5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2CB" w:themeFill="accent3" w:themeFillTint="32"/>
          <w:tblCellMar>
            <w:left w:w="108" w:type="dxa"/>
            <w:right w:w="108" w:type="dxa"/>
          </w:tblCellMar>
        </w:tblPrEx>
        <w:tc>
          <w:tcPr>
            <w:tcW w:w="10422" w:type="dxa"/>
            <w:gridSpan w:val="3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color w:val="0000FF"/>
                <w:sz w:val="56"/>
                <w:szCs w:val="5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FF"/>
                <w:sz w:val="56"/>
                <w:szCs w:val="56"/>
              </w:rPr>
              <w:t>企业所得税汇算清缴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48"/>
                <w:szCs w:val="48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C00000"/>
                <w:sz w:val="30"/>
                <w:szCs w:val="30"/>
              </w:rPr>
              <w:t>12项可税前扣除的标准+9项不可扣除的项目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422" w:type="dxa"/>
            <w:gridSpan w:val="3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249087" w:themeColor="accent5" w:themeShade="BF"/>
                <w:sz w:val="30"/>
                <w:szCs w:val="30"/>
              </w:rPr>
              <w:t>企业所得税12项费用扣除比例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项目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比例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限额标准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1.合理的工资薪金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100%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据实扣除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8" w:hRule="atLeast"/>
        </w:trPr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2.职工福利费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14%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工资薪金×14%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3.职工教育经费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8%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工资薪金×14%(超出以后扣)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4.工会经费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2%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工资薪金×2%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5.补充养老和医疗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不超过工资薪金总额5%的部分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6.手续费及佣金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18%/5%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具体扣除标准笔记后附详情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7.业务招待费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60%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0.5%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实际发生额×60%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销售收入×0.5%(两者取其低)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8.广告费和业务宣传费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30%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一般企业：销售收入×15%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化妆品行业：销售收入×30%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超出以后扣，烟草行业不得扣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9.研发费用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75%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lang w:val="en-US" w:eastAsia="zh-CN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制造业、科技型中小企业：100%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其他企业：75%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10.公益性捐赠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12%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利润总额x12%,超出后3年扣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11.党组织工作经费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不超过工资薪金总额1%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12.企业责任保险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100%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按照规定缴纳的保险费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2160" w:firstLineChars="300"/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color w:val="0000FF"/>
          <w:sz w:val="72"/>
          <w:szCs w:val="72"/>
        </w:rPr>
        <w:t>企业所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sz w:val="72"/>
          <w:szCs w:val="72"/>
        </w:rPr>
        <w:t>得税汇算清缴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b w:val="0"/>
          <w:bCs w:val="0"/>
          <w:color w:val="C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C00000"/>
          <w:sz w:val="36"/>
          <w:szCs w:val="36"/>
        </w:rPr>
        <w:t>9项不得税前扣除的项目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1.向投资者支付的股息、红利权益性投资收益款项；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2.企业所得税税款；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3.税收滞纳金罚金；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4.罚款和被没收财物的损失；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5.超过年度利润总额12%以外的公益性捐赠支出；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6.企业发生与生产经营活动无关的各种非广告性质的赞助支出；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7.未经核定的准备金支出；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8.企业之间支付的管理费、企业内营业机构之间支付的租金和特许权使用费，以及非银行企业内营业机构支付的利息，不得扣除；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9.与取得收入无关的其他支出。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bookmarkStart w:id="0" w:name="_GoBack"/>
      <w:bookmarkEnd w:id="0"/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sectPr>
      <w:pgSz w:w="11906" w:h="16839"/>
      <w:pgMar w:top="1389" w:right="850" w:bottom="1389" w:left="85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6561FEC-9598-4D9B-BDC3-1AE78DABCC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NjVmOTc2MDM2MzdlYzU0MzgyMTY3ODY5ZjBiZmYifQ=="/>
  </w:docVars>
  <w:rsids>
    <w:rsidRoot w:val="0E901513"/>
    <w:rsid w:val="077C5CE2"/>
    <w:rsid w:val="0E90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2024-01-17T02:58:00Z</dcterms:created>
  <dc:creator>脸滚键盘式取名</dc:creator>
  <cp:lastModifiedBy>脸滚键盘式取名</cp:lastModifiedBy>
  <dcterms:modified xsi:type="dcterms:W3CDTF">2024-01-17T03:18:51Z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7AE07C45632D4590A91F8BF4611DED48_11</vt:lpwstr>
  </property>
</Properties>
</file>